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0557" w:rsidRPr="00C976D8" w:rsidRDefault="00C976D8" w:rsidP="00C976D8">
      <w:pPr>
        <w:spacing w:after="0"/>
        <w:rPr>
          <w:rFonts w:ascii="Arial" w:hAnsi="Arial" w:cs="Arial"/>
          <w:b/>
          <w:sz w:val="20"/>
          <w:szCs w:val="20"/>
        </w:rPr>
      </w:pPr>
      <w:r w:rsidRPr="00C976D8">
        <w:rPr>
          <w:rFonts w:ascii="Arial" w:hAnsi="Arial" w:cs="Arial"/>
          <w:b/>
          <w:sz w:val="20"/>
          <w:szCs w:val="20"/>
        </w:rPr>
        <w:t>Begutachtung der Pflegebedürftigkeit</w:t>
      </w:r>
    </w:p>
    <w:p w:rsidR="00C976D8" w:rsidRDefault="00C976D8" w:rsidP="00C976D8">
      <w:pPr>
        <w:spacing w:after="0"/>
        <w:rPr>
          <w:rFonts w:ascii="Arial" w:hAnsi="Arial" w:cs="Arial"/>
          <w:sz w:val="20"/>
          <w:szCs w:val="20"/>
        </w:rPr>
      </w:pPr>
      <w:r w:rsidRPr="00C976D8">
        <w:rPr>
          <w:rFonts w:ascii="Arial" w:hAnsi="Arial" w:cs="Arial"/>
          <w:sz w:val="20"/>
          <w:szCs w:val="20"/>
        </w:rPr>
        <w:t xml:space="preserve">hier: Erforderlichkeit der vollstationären Pflege bei Pflegebedürftigkeit unterhalb der Pflegestufe 1 </w:t>
      </w:r>
    </w:p>
    <w:p w:rsidR="00C976D8" w:rsidRDefault="00C976D8" w:rsidP="00C976D8">
      <w:pPr>
        <w:spacing w:after="0"/>
        <w:rPr>
          <w:rFonts w:ascii="Arial" w:hAnsi="Arial" w:cs="Arial"/>
          <w:sz w:val="20"/>
          <w:szCs w:val="20"/>
        </w:rPr>
      </w:pPr>
    </w:p>
    <w:p w:rsidR="00604550" w:rsidRDefault="00604550" w:rsidP="00BE4AA7">
      <w:pPr>
        <w:spacing w:after="0"/>
        <w:rPr>
          <w:rFonts w:ascii="Arial" w:hAnsi="Arial" w:cs="Arial"/>
          <w:sz w:val="20"/>
          <w:szCs w:val="20"/>
        </w:rPr>
      </w:pPr>
      <w:r w:rsidRPr="00BE4AA7">
        <w:rPr>
          <w:rFonts w:ascii="Arial" w:hAnsi="Arial" w:cs="Arial"/>
          <w:sz w:val="20"/>
          <w:szCs w:val="20"/>
        </w:rPr>
        <w:t>Einige Einrichtungen sehen sich dem Problem ausgesetzt, dass die Sozialämter Kosten für stationär untergebrachte Bewohner nicht mehr übernehmen, weil in den Gutachten des MDK keine Aussagen mehr über die Erforderlichkeit stationärer Pflege getroffen werden, soweit nicht erhebliche Pflegebedürftigkeit vorliegt.</w:t>
      </w:r>
    </w:p>
    <w:p w:rsidR="00BE4AA7" w:rsidRDefault="00BE4AA7" w:rsidP="00BE4AA7">
      <w:pPr>
        <w:spacing w:after="0"/>
        <w:rPr>
          <w:rFonts w:ascii="Arial" w:hAnsi="Arial" w:cs="Arial"/>
          <w:sz w:val="20"/>
          <w:szCs w:val="20"/>
        </w:rPr>
      </w:pPr>
    </w:p>
    <w:p w:rsidR="00604550" w:rsidRDefault="00BE4AA7" w:rsidP="00BE4AA7">
      <w:pPr>
        <w:spacing w:after="0"/>
        <w:rPr>
          <w:rFonts w:ascii="Arial" w:hAnsi="Arial" w:cs="Arial"/>
          <w:sz w:val="20"/>
          <w:szCs w:val="20"/>
        </w:rPr>
      </w:pPr>
      <w:r>
        <w:rPr>
          <w:rFonts w:ascii="Arial" w:hAnsi="Arial" w:cs="Arial"/>
          <w:sz w:val="20"/>
          <w:szCs w:val="20"/>
        </w:rPr>
        <w:t xml:space="preserve">In vielen Gutachten finden sich unter Punkt 7 die offensichtlich vorformulierten Sätze „Die erforderliche vollstationäre Pflege ist generell nur zu prüfen und zu begründen, wenn mindestens erhebliche Pflegebedürftigkeit vorliegt. Da hier eine mindestens erhebliche Pflegebedürftigkeit nicht empfohlen werden kann, sollten ggf. alternative Unterbringungsmöglichkeiten geprüft werden.“ </w:t>
      </w:r>
    </w:p>
    <w:p w:rsidR="00BE4AA7" w:rsidRDefault="00BE4AA7" w:rsidP="00BE4AA7">
      <w:pPr>
        <w:spacing w:after="0"/>
        <w:rPr>
          <w:rFonts w:ascii="Arial" w:hAnsi="Arial" w:cs="Arial"/>
          <w:sz w:val="20"/>
          <w:szCs w:val="20"/>
        </w:rPr>
      </w:pPr>
    </w:p>
    <w:p w:rsidR="00AE457F" w:rsidRDefault="00BE4AA7" w:rsidP="00BE4AA7">
      <w:pPr>
        <w:spacing w:after="0"/>
        <w:rPr>
          <w:rFonts w:ascii="Arial" w:hAnsi="Arial" w:cs="Arial"/>
          <w:sz w:val="20"/>
          <w:szCs w:val="20"/>
        </w:rPr>
      </w:pPr>
      <w:r>
        <w:rPr>
          <w:rFonts w:ascii="Arial" w:hAnsi="Arial" w:cs="Arial"/>
          <w:sz w:val="20"/>
          <w:szCs w:val="20"/>
        </w:rPr>
        <w:t>Der Hinweis auf die anderweitige Unterbringung erklärt sich aus einer</w:t>
      </w:r>
      <w:r w:rsidR="0077218C">
        <w:rPr>
          <w:rFonts w:ascii="Arial" w:hAnsi="Arial" w:cs="Arial"/>
          <w:sz w:val="20"/>
          <w:szCs w:val="20"/>
        </w:rPr>
        <w:t xml:space="preserve"> von Frau Stahlberg (MDK)</w:t>
      </w:r>
      <w:r>
        <w:rPr>
          <w:rFonts w:ascii="Arial" w:hAnsi="Arial" w:cs="Arial"/>
          <w:sz w:val="20"/>
          <w:szCs w:val="20"/>
        </w:rPr>
        <w:t xml:space="preserve"> </w:t>
      </w:r>
      <w:r w:rsidR="0077218C">
        <w:rPr>
          <w:rFonts w:ascii="Arial" w:hAnsi="Arial" w:cs="Arial"/>
          <w:sz w:val="20"/>
          <w:szCs w:val="20"/>
        </w:rPr>
        <w:t xml:space="preserve"> </w:t>
      </w:r>
      <w:r w:rsidR="00016A63">
        <w:rPr>
          <w:rFonts w:ascii="Arial" w:hAnsi="Arial" w:cs="Arial"/>
          <w:sz w:val="20"/>
          <w:szCs w:val="20"/>
        </w:rPr>
        <w:t xml:space="preserve">erhaltenen </w:t>
      </w:r>
      <w:r>
        <w:rPr>
          <w:rFonts w:ascii="Arial" w:hAnsi="Arial" w:cs="Arial"/>
          <w:sz w:val="20"/>
          <w:szCs w:val="20"/>
        </w:rPr>
        <w:t xml:space="preserve">telefonischen Erläuterung zu den tatsächlich vorliegenden veränderten internen Arbeitsanweisungen für die Gutachter des MDK </w:t>
      </w:r>
      <w:r w:rsidR="00016A63">
        <w:rPr>
          <w:rFonts w:ascii="Arial" w:hAnsi="Arial" w:cs="Arial"/>
          <w:sz w:val="20"/>
          <w:szCs w:val="20"/>
        </w:rPr>
        <w:t>Berlin Brandenburg. Die Thematik wurde dort</w:t>
      </w:r>
      <w:r w:rsidR="00AE457F">
        <w:rPr>
          <w:rFonts w:ascii="Arial" w:hAnsi="Arial" w:cs="Arial"/>
          <w:sz w:val="20"/>
          <w:szCs w:val="20"/>
        </w:rPr>
        <w:t xml:space="preserve"> vor einiger Zeit </w:t>
      </w:r>
      <w:r w:rsidR="00016A63">
        <w:rPr>
          <w:rFonts w:ascii="Arial" w:hAnsi="Arial" w:cs="Arial"/>
          <w:sz w:val="20"/>
          <w:szCs w:val="20"/>
        </w:rPr>
        <w:t>im Zusammenhang mit Nachrichten in den Medien aufgegriffen, als über relativ junge Heimbewohner in stationären Pflegereinrichtungen (mit meist psychiatrischer Spezialisierung) kritisch berichtet wurde</w:t>
      </w:r>
      <w:r w:rsidR="00AE457F">
        <w:rPr>
          <w:rFonts w:ascii="Arial" w:hAnsi="Arial" w:cs="Arial"/>
          <w:sz w:val="20"/>
          <w:szCs w:val="20"/>
        </w:rPr>
        <w:t>, weil keine alternativen Einrichtungen für deren Betreuung zur Verfügung stehen würden</w:t>
      </w:r>
      <w:r w:rsidR="00016A63">
        <w:rPr>
          <w:rFonts w:ascii="Arial" w:hAnsi="Arial" w:cs="Arial"/>
          <w:sz w:val="20"/>
          <w:szCs w:val="20"/>
        </w:rPr>
        <w:t>.</w:t>
      </w:r>
      <w:r w:rsidR="00AE457F">
        <w:rPr>
          <w:rFonts w:ascii="Arial" w:hAnsi="Arial" w:cs="Arial"/>
          <w:sz w:val="20"/>
          <w:szCs w:val="20"/>
        </w:rPr>
        <w:t xml:space="preserve"> Zum damaligen Zeitpunkt hätte es auch Gespräche mit dem Berliner Senat gegeben, um dieser Situation Rechnung zu tragen. </w:t>
      </w:r>
    </w:p>
    <w:p w:rsidR="00AE457F" w:rsidRDefault="00AE457F" w:rsidP="00BE4AA7">
      <w:pPr>
        <w:spacing w:after="0"/>
        <w:rPr>
          <w:rFonts w:ascii="Arial" w:hAnsi="Arial" w:cs="Arial"/>
          <w:sz w:val="20"/>
          <w:szCs w:val="20"/>
        </w:rPr>
      </w:pPr>
    </w:p>
    <w:p w:rsidR="00AE457F" w:rsidRDefault="00AE457F" w:rsidP="00BE4AA7">
      <w:pPr>
        <w:spacing w:after="0"/>
        <w:rPr>
          <w:rFonts w:ascii="Arial" w:hAnsi="Arial" w:cs="Arial"/>
          <w:sz w:val="20"/>
          <w:szCs w:val="20"/>
        </w:rPr>
      </w:pPr>
      <w:r>
        <w:rPr>
          <w:rFonts w:ascii="Arial" w:hAnsi="Arial" w:cs="Arial"/>
          <w:sz w:val="20"/>
          <w:szCs w:val="20"/>
        </w:rPr>
        <w:t>Auf Anfragen durch die Kassen oder die Einrichtungen wird vom MDK darauf verwiesen, dass bei Nichtvorliegen einer erheblichen Pflegebedürftigkeit die Erforderlichkeit der vollstationären Pflege nicht zu prüfen sei. Dies wird mit den Erläuterungen zum Formulargutachten in den Begutachtungsrichtlinien begründet (</w:t>
      </w:r>
      <w:proofErr w:type="spellStart"/>
      <w:r>
        <w:rPr>
          <w:rFonts w:ascii="Arial" w:hAnsi="Arial" w:cs="Arial"/>
          <w:sz w:val="20"/>
          <w:szCs w:val="20"/>
        </w:rPr>
        <w:t>BRi</w:t>
      </w:r>
      <w:proofErr w:type="spellEnd"/>
      <w:r>
        <w:rPr>
          <w:rFonts w:ascii="Arial" w:hAnsi="Arial" w:cs="Arial"/>
          <w:sz w:val="20"/>
          <w:szCs w:val="20"/>
        </w:rPr>
        <w:t xml:space="preserve"> D 5.5 Satz 1). Der Satz 1 des Abschnitts D 5.5 wird dabei entgegen dem Wortlaut der Begutachtungsrichtlinien dahingehend ausgelegt, dass die Erforderlichkeit vollstationärer Pflege generell nur dann zu prüfen sei, wenn erhebliche Pflegebedürftigkeit vorliege (so auch der vorformulierte Satz in Punkt 7 der MDK Gutachten, der das Wörtchen „nur“ in das Zitat aus </w:t>
      </w:r>
      <w:proofErr w:type="spellStart"/>
      <w:r>
        <w:rPr>
          <w:rFonts w:ascii="Arial" w:hAnsi="Arial" w:cs="Arial"/>
          <w:sz w:val="20"/>
          <w:szCs w:val="20"/>
        </w:rPr>
        <w:t>BRi</w:t>
      </w:r>
      <w:proofErr w:type="spellEnd"/>
      <w:r>
        <w:rPr>
          <w:rFonts w:ascii="Arial" w:hAnsi="Arial" w:cs="Arial"/>
          <w:sz w:val="20"/>
          <w:szCs w:val="20"/>
        </w:rPr>
        <w:t xml:space="preserve"> D 5.5 Satz 1 einfügt). Dementsprechend ist in der von den Gutachtern des MDK benutzten Softwarevariante des Formulargutachtens der Punkt 5.5 nicht bearbeitbar, soweit nicht Pflegebedürftigkeit mindestens der Pflegestufe 1 festgestellt wird. </w:t>
      </w:r>
    </w:p>
    <w:p w:rsidR="00AE457F" w:rsidRDefault="00AE457F" w:rsidP="00BE4AA7">
      <w:pPr>
        <w:spacing w:after="0"/>
        <w:rPr>
          <w:rFonts w:ascii="Arial" w:hAnsi="Arial" w:cs="Arial"/>
          <w:sz w:val="20"/>
          <w:szCs w:val="20"/>
        </w:rPr>
      </w:pPr>
    </w:p>
    <w:p w:rsidR="00C235E3" w:rsidRDefault="00AE457F" w:rsidP="00BE4AA7">
      <w:pPr>
        <w:spacing w:after="0"/>
        <w:rPr>
          <w:rFonts w:ascii="Arial" w:hAnsi="Arial" w:cs="Arial"/>
          <w:sz w:val="20"/>
          <w:szCs w:val="20"/>
        </w:rPr>
      </w:pPr>
      <w:r>
        <w:rPr>
          <w:rFonts w:ascii="Arial" w:hAnsi="Arial" w:cs="Arial"/>
          <w:sz w:val="20"/>
          <w:szCs w:val="20"/>
        </w:rPr>
        <w:t xml:space="preserve">Ein solches Vorgehen ist jedoch aus unserer Sicht nicht richtlinienkonform. Nach §43 Abs. 1 SGB XI haben Pflegebedürftige Anspruch auf Pflege in vollstationären Einrichtungen, wenn häusliche oder teilstationäre Pflege nicht möglich ist oder wegen der Besonderheit des einzelnen Falls nicht in Betracht kommt. Dies kann auch bei Pflegebedürftigkeit unterhalb der </w:t>
      </w:r>
      <w:r w:rsidR="006F2B2F">
        <w:rPr>
          <w:rFonts w:ascii="Arial" w:hAnsi="Arial" w:cs="Arial"/>
          <w:sz w:val="20"/>
          <w:szCs w:val="20"/>
        </w:rPr>
        <w:t>P</w:t>
      </w:r>
      <w:r>
        <w:rPr>
          <w:rFonts w:ascii="Arial" w:hAnsi="Arial" w:cs="Arial"/>
          <w:sz w:val="20"/>
          <w:szCs w:val="20"/>
        </w:rPr>
        <w:t>flegestufe 1 vonnöten sein, etwa bei drohender oder bereits eingetretener Verwahrlosung des Pflegeb</w:t>
      </w:r>
      <w:r w:rsidR="00EB18C9">
        <w:rPr>
          <w:rFonts w:ascii="Arial" w:hAnsi="Arial" w:cs="Arial"/>
          <w:sz w:val="20"/>
          <w:szCs w:val="20"/>
        </w:rPr>
        <w:t>e</w:t>
      </w:r>
      <w:r>
        <w:rPr>
          <w:rFonts w:ascii="Arial" w:hAnsi="Arial" w:cs="Arial"/>
          <w:sz w:val="20"/>
          <w:szCs w:val="20"/>
        </w:rPr>
        <w:t xml:space="preserve">dürftigen </w:t>
      </w:r>
      <w:r w:rsidR="00C235E3">
        <w:rPr>
          <w:rFonts w:ascii="Arial" w:hAnsi="Arial" w:cs="Arial"/>
          <w:sz w:val="20"/>
          <w:szCs w:val="20"/>
        </w:rPr>
        <w:t xml:space="preserve">durch </w:t>
      </w:r>
    </w:p>
    <w:p w:rsidR="00C235E3" w:rsidRPr="00C235E3" w:rsidRDefault="00AE457F" w:rsidP="00C235E3">
      <w:pPr>
        <w:pStyle w:val="Listenabsatz"/>
        <w:numPr>
          <w:ilvl w:val="0"/>
          <w:numId w:val="1"/>
        </w:numPr>
        <w:spacing w:after="0"/>
        <w:ind w:left="709"/>
        <w:rPr>
          <w:rFonts w:ascii="Arial" w:hAnsi="Arial" w:cs="Arial"/>
          <w:sz w:val="20"/>
          <w:szCs w:val="20"/>
        </w:rPr>
      </w:pPr>
      <w:r w:rsidRPr="00C235E3">
        <w:rPr>
          <w:rFonts w:ascii="Arial" w:hAnsi="Arial" w:cs="Arial"/>
          <w:sz w:val="20"/>
          <w:szCs w:val="20"/>
        </w:rPr>
        <w:t>Vern</w:t>
      </w:r>
      <w:r w:rsidR="00EB18C9" w:rsidRPr="00C235E3">
        <w:rPr>
          <w:rFonts w:ascii="Arial" w:hAnsi="Arial" w:cs="Arial"/>
          <w:sz w:val="20"/>
          <w:szCs w:val="20"/>
        </w:rPr>
        <w:t>a</w:t>
      </w:r>
      <w:r w:rsidRPr="00C235E3">
        <w:rPr>
          <w:rFonts w:ascii="Arial" w:hAnsi="Arial" w:cs="Arial"/>
          <w:sz w:val="20"/>
          <w:szCs w:val="20"/>
        </w:rPr>
        <w:t>chlässigung</w:t>
      </w:r>
      <w:r w:rsidR="00C235E3" w:rsidRPr="00C235E3">
        <w:rPr>
          <w:rFonts w:ascii="Arial" w:hAnsi="Arial" w:cs="Arial"/>
          <w:sz w:val="20"/>
          <w:szCs w:val="20"/>
        </w:rPr>
        <w:t xml:space="preserve"> der Körperpflege</w:t>
      </w:r>
    </w:p>
    <w:p w:rsidR="00C235E3" w:rsidRPr="00C235E3" w:rsidRDefault="00C235E3" w:rsidP="00C235E3">
      <w:pPr>
        <w:pStyle w:val="Listenabsatz"/>
        <w:numPr>
          <w:ilvl w:val="0"/>
          <w:numId w:val="1"/>
        </w:numPr>
        <w:spacing w:after="0"/>
        <w:ind w:left="709"/>
        <w:rPr>
          <w:rFonts w:ascii="Arial" w:hAnsi="Arial" w:cs="Arial"/>
          <w:sz w:val="20"/>
          <w:szCs w:val="20"/>
        </w:rPr>
      </w:pPr>
      <w:r w:rsidRPr="00C235E3">
        <w:rPr>
          <w:rFonts w:ascii="Arial" w:hAnsi="Arial" w:cs="Arial"/>
          <w:sz w:val="20"/>
          <w:szCs w:val="20"/>
        </w:rPr>
        <w:t>unregelmäßiger und/oder nicht ausreichender Einnahme von Mahlzeiten</w:t>
      </w:r>
    </w:p>
    <w:p w:rsidR="00C235E3" w:rsidRPr="00C235E3" w:rsidRDefault="00C235E3" w:rsidP="00C235E3">
      <w:pPr>
        <w:pStyle w:val="Listenabsatz"/>
        <w:numPr>
          <w:ilvl w:val="0"/>
          <w:numId w:val="1"/>
        </w:numPr>
        <w:spacing w:after="0"/>
        <w:ind w:left="709"/>
        <w:rPr>
          <w:rFonts w:ascii="Arial" w:hAnsi="Arial" w:cs="Arial"/>
          <w:sz w:val="20"/>
          <w:szCs w:val="20"/>
        </w:rPr>
      </w:pPr>
      <w:r w:rsidRPr="00C235E3">
        <w:rPr>
          <w:rFonts w:ascii="Arial" w:hAnsi="Arial" w:cs="Arial"/>
          <w:sz w:val="20"/>
          <w:szCs w:val="20"/>
        </w:rPr>
        <w:t>Vernachlässigung des Haushalts</w:t>
      </w:r>
    </w:p>
    <w:p w:rsidR="00C235E3" w:rsidRDefault="00C235E3" w:rsidP="00C235E3">
      <w:pPr>
        <w:spacing w:after="0"/>
        <w:rPr>
          <w:rFonts w:ascii="Arial" w:hAnsi="Arial" w:cs="Arial"/>
          <w:sz w:val="20"/>
          <w:szCs w:val="20"/>
        </w:rPr>
      </w:pPr>
      <w:r>
        <w:rPr>
          <w:rFonts w:ascii="Arial" w:hAnsi="Arial" w:cs="Arial"/>
          <w:sz w:val="20"/>
          <w:szCs w:val="20"/>
        </w:rPr>
        <w:t xml:space="preserve">oder Selbst- oder Fremdgefährdungstendenzen wie </w:t>
      </w:r>
    </w:p>
    <w:p w:rsidR="00C235E3" w:rsidRPr="00C235E3" w:rsidRDefault="00C235E3" w:rsidP="00C235E3">
      <w:pPr>
        <w:pStyle w:val="Listenabsatz"/>
        <w:numPr>
          <w:ilvl w:val="0"/>
          <w:numId w:val="2"/>
        </w:numPr>
        <w:spacing w:after="0"/>
        <w:rPr>
          <w:rFonts w:ascii="Arial" w:hAnsi="Arial" w:cs="Arial"/>
          <w:sz w:val="20"/>
          <w:szCs w:val="20"/>
        </w:rPr>
      </w:pPr>
      <w:r w:rsidRPr="00C235E3">
        <w:rPr>
          <w:rFonts w:ascii="Arial" w:hAnsi="Arial" w:cs="Arial"/>
          <w:sz w:val="20"/>
          <w:szCs w:val="20"/>
        </w:rPr>
        <w:t>Fehlen von Hilfe bei wiederholt auftretendem Hilfebedarf,</w:t>
      </w:r>
    </w:p>
    <w:p w:rsidR="00C235E3" w:rsidRPr="00C235E3" w:rsidRDefault="00C235E3" w:rsidP="00C235E3">
      <w:pPr>
        <w:pStyle w:val="Listenabsatz"/>
        <w:numPr>
          <w:ilvl w:val="0"/>
          <w:numId w:val="2"/>
        </w:numPr>
        <w:spacing w:after="0"/>
        <w:rPr>
          <w:rFonts w:ascii="Arial" w:hAnsi="Arial" w:cs="Arial"/>
          <w:sz w:val="20"/>
          <w:szCs w:val="20"/>
        </w:rPr>
      </w:pPr>
      <w:r w:rsidRPr="00C235E3">
        <w:rPr>
          <w:rFonts w:ascii="Arial" w:hAnsi="Arial" w:cs="Arial"/>
          <w:sz w:val="20"/>
          <w:szCs w:val="20"/>
        </w:rPr>
        <w:t>hochgradige Verwirr</w:t>
      </w:r>
      <w:r>
        <w:rPr>
          <w:rFonts w:ascii="Arial" w:hAnsi="Arial" w:cs="Arial"/>
          <w:sz w:val="20"/>
          <w:szCs w:val="20"/>
        </w:rPr>
        <w:t>t</w:t>
      </w:r>
      <w:r w:rsidRPr="00C235E3">
        <w:rPr>
          <w:rFonts w:ascii="Arial" w:hAnsi="Arial" w:cs="Arial"/>
          <w:sz w:val="20"/>
          <w:szCs w:val="20"/>
        </w:rPr>
        <w:t>heit,</w:t>
      </w:r>
    </w:p>
    <w:p w:rsidR="00C235E3" w:rsidRPr="00C235E3" w:rsidRDefault="00C235E3" w:rsidP="00C235E3">
      <w:pPr>
        <w:pStyle w:val="Listenabsatz"/>
        <w:numPr>
          <w:ilvl w:val="0"/>
          <w:numId w:val="2"/>
        </w:numPr>
        <w:spacing w:after="0"/>
        <w:rPr>
          <w:rFonts w:ascii="Arial" w:hAnsi="Arial" w:cs="Arial"/>
          <w:sz w:val="20"/>
          <w:szCs w:val="20"/>
        </w:rPr>
      </w:pPr>
      <w:r w:rsidRPr="00C235E3">
        <w:rPr>
          <w:rFonts w:ascii="Arial" w:hAnsi="Arial" w:cs="Arial"/>
          <w:sz w:val="20"/>
          <w:szCs w:val="20"/>
        </w:rPr>
        <w:t>Antriebsarmut,</w:t>
      </w:r>
    </w:p>
    <w:p w:rsidR="00C235E3" w:rsidRPr="00C235E3" w:rsidRDefault="00C235E3" w:rsidP="00C235E3">
      <w:pPr>
        <w:pStyle w:val="Listenabsatz"/>
        <w:numPr>
          <w:ilvl w:val="0"/>
          <w:numId w:val="2"/>
        </w:numPr>
        <w:spacing w:after="0"/>
        <w:rPr>
          <w:rFonts w:ascii="Arial" w:hAnsi="Arial" w:cs="Arial"/>
          <w:sz w:val="20"/>
          <w:szCs w:val="20"/>
        </w:rPr>
      </w:pPr>
      <w:r w:rsidRPr="00C235E3">
        <w:rPr>
          <w:rFonts w:ascii="Arial" w:hAnsi="Arial" w:cs="Arial"/>
          <w:sz w:val="20"/>
          <w:szCs w:val="20"/>
        </w:rPr>
        <w:t>schwere Depression</w:t>
      </w:r>
    </w:p>
    <w:p w:rsidR="00C235E3" w:rsidRPr="00C235E3" w:rsidRDefault="00C235E3" w:rsidP="00C235E3">
      <w:pPr>
        <w:pStyle w:val="Listenabsatz"/>
        <w:numPr>
          <w:ilvl w:val="0"/>
          <w:numId w:val="2"/>
        </w:numPr>
        <w:spacing w:after="0"/>
        <w:rPr>
          <w:rFonts w:ascii="Arial" w:hAnsi="Arial" w:cs="Arial"/>
          <w:sz w:val="20"/>
          <w:szCs w:val="20"/>
        </w:rPr>
      </w:pPr>
      <w:r w:rsidRPr="00C235E3">
        <w:rPr>
          <w:rFonts w:ascii="Arial" w:hAnsi="Arial" w:cs="Arial"/>
          <w:sz w:val="20"/>
          <w:szCs w:val="20"/>
        </w:rPr>
        <w:t>Suizidalität</w:t>
      </w:r>
    </w:p>
    <w:p w:rsidR="00C235E3" w:rsidRDefault="00C235E3" w:rsidP="009F5D2F">
      <w:pPr>
        <w:pStyle w:val="Listenabsatz"/>
        <w:numPr>
          <w:ilvl w:val="0"/>
          <w:numId w:val="2"/>
        </w:numPr>
        <w:spacing w:after="0"/>
        <w:rPr>
          <w:rFonts w:ascii="Arial" w:hAnsi="Arial" w:cs="Arial"/>
          <w:sz w:val="20"/>
          <w:szCs w:val="20"/>
        </w:rPr>
      </w:pPr>
      <w:r w:rsidRPr="00C235E3">
        <w:rPr>
          <w:rFonts w:ascii="Arial" w:hAnsi="Arial" w:cs="Arial"/>
          <w:sz w:val="20"/>
          <w:szCs w:val="20"/>
        </w:rPr>
        <w:t>Fehlende Übersicht im Umgang mit Strom, Gas oder Wasser.</w:t>
      </w:r>
    </w:p>
    <w:p w:rsidR="00AE457F" w:rsidRDefault="00C235E3" w:rsidP="00C235E3">
      <w:pPr>
        <w:spacing w:after="0"/>
        <w:rPr>
          <w:rFonts w:ascii="Arial" w:hAnsi="Arial" w:cs="Arial"/>
          <w:sz w:val="20"/>
          <w:szCs w:val="20"/>
        </w:rPr>
      </w:pPr>
      <w:r>
        <w:rPr>
          <w:rFonts w:ascii="Arial" w:hAnsi="Arial" w:cs="Arial"/>
          <w:sz w:val="20"/>
          <w:szCs w:val="20"/>
        </w:rPr>
        <w:t xml:space="preserve">Der Gutachter hat in diesen Fällen zunächst zu prüfen, ob durch Maßnahmen zur Verbesserung des individuellen häuslichen Wohnumfeldes die wesentlichen Hindernisse für die ambulante Pflege zu beseitigen sind. Ist dies nicht der Fall, muss er stationäre Pflege empfehlen (vgl. </w:t>
      </w:r>
      <w:proofErr w:type="spellStart"/>
      <w:r>
        <w:rPr>
          <w:rFonts w:ascii="Arial" w:hAnsi="Arial" w:cs="Arial"/>
          <w:sz w:val="20"/>
          <w:szCs w:val="20"/>
        </w:rPr>
        <w:t>BRi</w:t>
      </w:r>
      <w:proofErr w:type="spellEnd"/>
      <w:r>
        <w:rPr>
          <w:rFonts w:ascii="Arial" w:hAnsi="Arial" w:cs="Arial"/>
          <w:sz w:val="20"/>
          <w:szCs w:val="20"/>
        </w:rPr>
        <w:t xml:space="preserve"> D 5.5)</w:t>
      </w:r>
      <w:r w:rsidR="00AE457F" w:rsidRPr="00C235E3">
        <w:rPr>
          <w:rFonts w:ascii="Arial" w:hAnsi="Arial" w:cs="Arial"/>
          <w:sz w:val="20"/>
          <w:szCs w:val="20"/>
        </w:rPr>
        <w:t xml:space="preserve"> </w:t>
      </w:r>
    </w:p>
    <w:p w:rsidR="00C235E3" w:rsidRDefault="00C235E3" w:rsidP="00C235E3">
      <w:pPr>
        <w:spacing w:after="0"/>
        <w:rPr>
          <w:rFonts w:ascii="Arial" w:hAnsi="Arial" w:cs="Arial"/>
          <w:sz w:val="20"/>
          <w:szCs w:val="20"/>
        </w:rPr>
      </w:pPr>
    </w:p>
    <w:p w:rsidR="00C235E3" w:rsidRDefault="00C235E3" w:rsidP="00C235E3">
      <w:pPr>
        <w:spacing w:after="0"/>
        <w:rPr>
          <w:rFonts w:ascii="Arial" w:hAnsi="Arial" w:cs="Arial"/>
          <w:sz w:val="20"/>
          <w:szCs w:val="20"/>
        </w:rPr>
      </w:pPr>
      <w:r>
        <w:rPr>
          <w:rFonts w:ascii="Arial" w:hAnsi="Arial" w:cs="Arial"/>
          <w:sz w:val="20"/>
          <w:szCs w:val="20"/>
        </w:rPr>
        <w:t>Beantragt der Versicherte vollstationäre Pflegeleistungen, hat der MDK grundsätzlich die Erforderlichkeit vollstationärer Pflege zu prüfen (</w:t>
      </w:r>
      <w:proofErr w:type="spellStart"/>
      <w:r>
        <w:rPr>
          <w:rFonts w:ascii="Arial" w:hAnsi="Arial" w:cs="Arial"/>
          <w:sz w:val="20"/>
          <w:szCs w:val="20"/>
        </w:rPr>
        <w:t>BRi</w:t>
      </w:r>
      <w:proofErr w:type="spellEnd"/>
      <w:r>
        <w:rPr>
          <w:rFonts w:ascii="Arial" w:hAnsi="Arial" w:cs="Arial"/>
          <w:sz w:val="20"/>
          <w:szCs w:val="20"/>
        </w:rPr>
        <w:t xml:space="preserve"> B 2 Satz 6). Dementsprechend he</w:t>
      </w:r>
      <w:r w:rsidR="002952DF">
        <w:rPr>
          <w:rFonts w:ascii="Arial" w:hAnsi="Arial" w:cs="Arial"/>
          <w:sz w:val="20"/>
          <w:szCs w:val="20"/>
        </w:rPr>
        <w:t>i</w:t>
      </w:r>
      <w:r>
        <w:rPr>
          <w:rFonts w:ascii="Arial" w:hAnsi="Arial" w:cs="Arial"/>
          <w:sz w:val="20"/>
          <w:szCs w:val="20"/>
        </w:rPr>
        <w:t xml:space="preserve">ßt es in den </w:t>
      </w:r>
      <w:r>
        <w:rPr>
          <w:rFonts w:ascii="Arial" w:hAnsi="Arial" w:cs="Arial"/>
          <w:sz w:val="20"/>
          <w:szCs w:val="20"/>
        </w:rPr>
        <w:lastRenderedPageBreak/>
        <w:t>Ausführungen zu den Anforderungen an das Formulargutachten (</w:t>
      </w:r>
      <w:proofErr w:type="spellStart"/>
      <w:r>
        <w:rPr>
          <w:rFonts w:ascii="Arial" w:hAnsi="Arial" w:cs="Arial"/>
          <w:sz w:val="20"/>
          <w:szCs w:val="20"/>
        </w:rPr>
        <w:t>BRi</w:t>
      </w:r>
      <w:proofErr w:type="spellEnd"/>
      <w:r>
        <w:rPr>
          <w:rFonts w:ascii="Arial" w:hAnsi="Arial" w:cs="Arial"/>
          <w:sz w:val="20"/>
          <w:szCs w:val="20"/>
        </w:rPr>
        <w:t xml:space="preserve"> D 01 Satz 3): „Wird vollstationäre beantragt, hat sich die Stellungnahme auch darauf zu erstrecken, ob vollstationäre Pflege erforderlich ist.“ Wurde im Vorgutachten die Frage bereits mit „ja“ beantwortet, so ist sie im aktuellen Gutachten ebenfalls mit „ja“ zu beantworten. Liegen Hinweise vor, dass eine Rückkehr in die häusliche Umg</w:t>
      </w:r>
      <w:r w:rsidR="00617ADB">
        <w:rPr>
          <w:rFonts w:ascii="Arial" w:hAnsi="Arial" w:cs="Arial"/>
          <w:sz w:val="20"/>
          <w:szCs w:val="20"/>
        </w:rPr>
        <w:t>e</w:t>
      </w:r>
      <w:r>
        <w:rPr>
          <w:rFonts w:ascii="Arial" w:hAnsi="Arial" w:cs="Arial"/>
          <w:sz w:val="20"/>
          <w:szCs w:val="20"/>
        </w:rPr>
        <w:t>bung möglich ist, sind diese zu benennen (</w:t>
      </w:r>
      <w:proofErr w:type="spellStart"/>
      <w:r>
        <w:rPr>
          <w:rFonts w:ascii="Arial" w:hAnsi="Arial" w:cs="Arial"/>
          <w:sz w:val="20"/>
          <w:szCs w:val="20"/>
        </w:rPr>
        <w:t>BRi</w:t>
      </w:r>
      <w:proofErr w:type="spellEnd"/>
      <w:r>
        <w:rPr>
          <w:rFonts w:ascii="Arial" w:hAnsi="Arial" w:cs="Arial"/>
          <w:sz w:val="20"/>
          <w:szCs w:val="20"/>
        </w:rPr>
        <w:t xml:space="preserve"> D 5.5 Sätze 2ff).</w:t>
      </w:r>
    </w:p>
    <w:p w:rsidR="00C235E3" w:rsidRDefault="00C235E3" w:rsidP="00C235E3">
      <w:pPr>
        <w:spacing w:after="0"/>
        <w:rPr>
          <w:rFonts w:ascii="Arial" w:hAnsi="Arial" w:cs="Arial"/>
          <w:sz w:val="20"/>
          <w:szCs w:val="20"/>
        </w:rPr>
      </w:pPr>
    </w:p>
    <w:p w:rsidR="00617ADB" w:rsidRDefault="00617ADB" w:rsidP="00C235E3">
      <w:pPr>
        <w:spacing w:after="0"/>
        <w:rPr>
          <w:rFonts w:ascii="Arial" w:hAnsi="Arial" w:cs="Arial"/>
          <w:sz w:val="20"/>
          <w:szCs w:val="20"/>
        </w:rPr>
      </w:pPr>
      <w:r>
        <w:rPr>
          <w:rFonts w:ascii="Arial" w:hAnsi="Arial" w:cs="Arial"/>
          <w:sz w:val="20"/>
          <w:szCs w:val="20"/>
        </w:rPr>
        <w:t xml:space="preserve">Die neue Praxis, den Punkt 5.5. des Formulargutachtens nicht zu bearbeiten mit dem Hinweis, dass Pflegebedürftigkeit nicht in erheblichen Maße vorliege, ist </w:t>
      </w:r>
      <w:r w:rsidR="003F7E5C">
        <w:rPr>
          <w:rFonts w:ascii="Arial" w:hAnsi="Arial" w:cs="Arial"/>
          <w:sz w:val="20"/>
          <w:szCs w:val="20"/>
        </w:rPr>
        <w:t xml:space="preserve">deshalb aus unserer Sicht </w:t>
      </w:r>
      <w:r>
        <w:rPr>
          <w:rFonts w:ascii="Arial" w:hAnsi="Arial" w:cs="Arial"/>
          <w:sz w:val="20"/>
          <w:szCs w:val="20"/>
        </w:rPr>
        <w:t xml:space="preserve">nicht richtlinienkonform. </w:t>
      </w:r>
    </w:p>
    <w:p w:rsidR="00617ADB" w:rsidRDefault="00617ADB" w:rsidP="00C235E3">
      <w:pPr>
        <w:spacing w:after="0"/>
        <w:rPr>
          <w:rFonts w:ascii="Arial" w:hAnsi="Arial" w:cs="Arial"/>
          <w:sz w:val="20"/>
          <w:szCs w:val="20"/>
        </w:rPr>
      </w:pPr>
    </w:p>
    <w:p w:rsidR="00617ADB" w:rsidRDefault="00617ADB" w:rsidP="00C235E3">
      <w:pPr>
        <w:spacing w:after="0"/>
        <w:rPr>
          <w:rFonts w:ascii="Arial" w:hAnsi="Arial" w:cs="Arial"/>
          <w:sz w:val="20"/>
          <w:szCs w:val="20"/>
        </w:rPr>
      </w:pPr>
      <w:r>
        <w:rPr>
          <w:rFonts w:ascii="Arial" w:hAnsi="Arial" w:cs="Arial"/>
          <w:sz w:val="20"/>
          <w:szCs w:val="20"/>
        </w:rPr>
        <w:t xml:space="preserve">Insbesondere für die Klientel der chronisch psychisch Kranken ist es häufiger der Fall, dass Pflegebedürftigkeit unterhalb der </w:t>
      </w:r>
      <w:proofErr w:type="spellStart"/>
      <w:r>
        <w:rPr>
          <w:rFonts w:ascii="Arial" w:hAnsi="Arial" w:cs="Arial"/>
          <w:sz w:val="20"/>
          <w:szCs w:val="20"/>
        </w:rPr>
        <w:t>Erheblichkeitsgrenze</w:t>
      </w:r>
      <w:proofErr w:type="spellEnd"/>
      <w:r>
        <w:rPr>
          <w:rFonts w:ascii="Arial" w:hAnsi="Arial" w:cs="Arial"/>
          <w:sz w:val="20"/>
          <w:szCs w:val="20"/>
        </w:rPr>
        <w:t xml:space="preserve"> vorliegt und dennoch stationäre Pflege erforderlich ist, weil andere Kriterien der Begutachtungsrichtlinien (siehe Aufzählung oben) erfüllt sind oder auch weil ambulante Versorgungsformen wie Betreutes Wohnen oder Therapeutische Wohngemeinschaften bisher nicht erfolgreich waren oder keinen Erfolg versprechen. </w:t>
      </w:r>
      <w:r w:rsidR="003F7E5C">
        <w:rPr>
          <w:rFonts w:ascii="Arial" w:hAnsi="Arial" w:cs="Arial"/>
          <w:sz w:val="20"/>
          <w:szCs w:val="20"/>
        </w:rPr>
        <w:t xml:space="preserve">Es ist laut </w:t>
      </w:r>
      <w:proofErr w:type="spellStart"/>
      <w:r w:rsidR="003F7E5C">
        <w:rPr>
          <w:rFonts w:ascii="Arial" w:hAnsi="Arial" w:cs="Arial"/>
          <w:sz w:val="20"/>
          <w:szCs w:val="20"/>
        </w:rPr>
        <w:t>BRi</w:t>
      </w:r>
      <w:proofErr w:type="spellEnd"/>
      <w:r w:rsidR="003F7E5C">
        <w:rPr>
          <w:rFonts w:ascii="Arial" w:hAnsi="Arial" w:cs="Arial"/>
          <w:sz w:val="20"/>
          <w:szCs w:val="20"/>
        </w:rPr>
        <w:t xml:space="preserve"> die Aufgabe des Gutachters des MDK, diese Erforderlichkeit bei Vorliegen des Antrages zu prüfen. </w:t>
      </w:r>
    </w:p>
    <w:p w:rsidR="003F7E5C" w:rsidRDefault="003F7E5C" w:rsidP="00C235E3">
      <w:pPr>
        <w:spacing w:after="0"/>
        <w:rPr>
          <w:rFonts w:ascii="Arial" w:hAnsi="Arial" w:cs="Arial"/>
          <w:sz w:val="20"/>
          <w:szCs w:val="20"/>
        </w:rPr>
      </w:pPr>
    </w:p>
    <w:p w:rsidR="00864F63" w:rsidRDefault="003F7E5C" w:rsidP="00C235E3">
      <w:pPr>
        <w:spacing w:after="0"/>
        <w:rPr>
          <w:rFonts w:ascii="Arial" w:hAnsi="Arial" w:cs="Arial"/>
          <w:sz w:val="20"/>
          <w:szCs w:val="20"/>
        </w:rPr>
      </w:pPr>
      <w:r>
        <w:rPr>
          <w:rFonts w:ascii="Arial" w:hAnsi="Arial" w:cs="Arial"/>
          <w:sz w:val="20"/>
          <w:szCs w:val="20"/>
        </w:rPr>
        <w:t xml:space="preserve">Diese fachliche Herangehensweise steht </w:t>
      </w:r>
      <w:r w:rsidR="00864F63">
        <w:rPr>
          <w:rFonts w:ascii="Arial" w:hAnsi="Arial" w:cs="Arial"/>
          <w:sz w:val="20"/>
          <w:szCs w:val="20"/>
        </w:rPr>
        <w:t xml:space="preserve">dem geschilderten </w:t>
      </w:r>
      <w:r>
        <w:rPr>
          <w:rFonts w:ascii="Arial" w:hAnsi="Arial" w:cs="Arial"/>
          <w:sz w:val="20"/>
          <w:szCs w:val="20"/>
        </w:rPr>
        <w:t>Anliegen</w:t>
      </w:r>
      <w:r w:rsidR="00864F63">
        <w:rPr>
          <w:rFonts w:ascii="Arial" w:hAnsi="Arial" w:cs="Arial"/>
          <w:sz w:val="20"/>
          <w:szCs w:val="20"/>
        </w:rPr>
        <w:t xml:space="preserve"> des MDK</w:t>
      </w:r>
      <w:r>
        <w:rPr>
          <w:rFonts w:ascii="Arial" w:hAnsi="Arial" w:cs="Arial"/>
          <w:sz w:val="20"/>
          <w:szCs w:val="20"/>
        </w:rPr>
        <w:t xml:space="preserve"> „</w:t>
      </w:r>
      <w:r w:rsidR="00864F63">
        <w:rPr>
          <w:rFonts w:ascii="Arial" w:hAnsi="Arial" w:cs="Arial"/>
          <w:sz w:val="20"/>
          <w:szCs w:val="20"/>
        </w:rPr>
        <w:t>…</w:t>
      </w:r>
      <w:r>
        <w:rPr>
          <w:rFonts w:ascii="Arial" w:hAnsi="Arial" w:cs="Arial"/>
          <w:sz w:val="20"/>
          <w:szCs w:val="20"/>
        </w:rPr>
        <w:t xml:space="preserve">keine </w:t>
      </w:r>
      <w:r w:rsidR="00864F63">
        <w:rPr>
          <w:rFonts w:ascii="Arial" w:hAnsi="Arial" w:cs="Arial"/>
          <w:sz w:val="20"/>
          <w:szCs w:val="20"/>
        </w:rPr>
        <w:t xml:space="preserve">zu jungen Bewohner dauerhaft in stationären Pflegeeinrichtungen unterzubringen, für die eine andere Versorgungsform optimaler wäre …“ nicht entgegen! Die aktuelle Herangehensweise des MDK Berlin Brandenburg führt aber in einzelnen Fällen zu einer Verschlechterung der Versorgungssituation der betroffenen Bewohner. Im Regelfall handelt es sich bei diesen um Menschen, die im Rahmen der Erstversorgung in den Einrichtungen wieder eine Orientierung erhalten und einen neuen Mittelpunkt gefunden haben. Bei Versagen der Empfehlung würden diese Menschen ggf. wieder auf der Straße landen. Auch der Senat kann an dem dann entstehenden Kreislauf </w:t>
      </w:r>
      <w:r w:rsidR="0077218C">
        <w:rPr>
          <w:rFonts w:ascii="Arial" w:hAnsi="Arial" w:cs="Arial"/>
          <w:sz w:val="20"/>
          <w:szCs w:val="20"/>
        </w:rPr>
        <w:t xml:space="preserve">aus unserer Sicht </w:t>
      </w:r>
      <w:r w:rsidR="00864F63">
        <w:rPr>
          <w:rFonts w:ascii="Arial" w:hAnsi="Arial" w:cs="Arial"/>
          <w:sz w:val="20"/>
          <w:szCs w:val="20"/>
        </w:rPr>
        <w:t xml:space="preserve">nicht interessiert sein. Im Augenblick machen die entstehenden Fälle nur unendlich viel Arbeit durch erneute Begutachtungen, Widersprüche etc.   </w:t>
      </w:r>
    </w:p>
    <w:p w:rsidR="0077218C" w:rsidRDefault="0077218C" w:rsidP="00C235E3">
      <w:pPr>
        <w:spacing w:after="0"/>
        <w:rPr>
          <w:rFonts w:ascii="Arial" w:hAnsi="Arial" w:cs="Arial"/>
          <w:sz w:val="20"/>
          <w:szCs w:val="20"/>
        </w:rPr>
      </w:pPr>
      <w:bookmarkStart w:id="0" w:name="_GoBack"/>
      <w:bookmarkEnd w:id="0"/>
    </w:p>
    <w:p w:rsidR="0077218C" w:rsidRDefault="0077218C" w:rsidP="00C235E3">
      <w:pPr>
        <w:spacing w:after="0"/>
        <w:rPr>
          <w:rFonts w:ascii="Arial" w:hAnsi="Arial" w:cs="Arial"/>
          <w:sz w:val="20"/>
          <w:szCs w:val="20"/>
        </w:rPr>
      </w:pPr>
      <w:r>
        <w:rPr>
          <w:rFonts w:ascii="Arial" w:hAnsi="Arial" w:cs="Arial"/>
          <w:sz w:val="20"/>
          <w:szCs w:val="20"/>
        </w:rPr>
        <w:t xml:space="preserve">Wir würden deshalb gern über einen Schulterschluss mit dem Senat und den Kassen - als Kostenträger des MDK – ein Überdenken beim Handeln des MDK erreichen.  </w:t>
      </w:r>
    </w:p>
    <w:p w:rsidR="00864F63" w:rsidRDefault="00864F63" w:rsidP="00C235E3">
      <w:pPr>
        <w:spacing w:after="0"/>
        <w:rPr>
          <w:rFonts w:ascii="Arial" w:hAnsi="Arial" w:cs="Arial"/>
          <w:sz w:val="20"/>
          <w:szCs w:val="20"/>
        </w:rPr>
      </w:pPr>
    </w:p>
    <w:p w:rsidR="00970F9B" w:rsidRDefault="00970F9B" w:rsidP="00970F9B">
      <w:pPr>
        <w:spacing w:after="0"/>
        <w:rPr>
          <w:rFonts w:ascii="Arial" w:hAnsi="Arial" w:cs="Arial"/>
          <w:sz w:val="20"/>
          <w:szCs w:val="20"/>
        </w:rPr>
      </w:pPr>
      <w:r>
        <w:rPr>
          <w:rFonts w:ascii="Arial" w:hAnsi="Arial" w:cs="Arial"/>
          <w:sz w:val="20"/>
          <w:szCs w:val="20"/>
        </w:rPr>
        <w:t xml:space="preserve">Gez. Machelett </w:t>
      </w:r>
    </w:p>
    <w:p w:rsidR="00704D4A" w:rsidRDefault="00704D4A" w:rsidP="00970F9B">
      <w:pPr>
        <w:spacing w:after="0"/>
        <w:rPr>
          <w:rFonts w:ascii="Arial" w:hAnsi="Arial" w:cs="Arial"/>
          <w:sz w:val="20"/>
          <w:szCs w:val="20"/>
        </w:rPr>
      </w:pPr>
      <w:r>
        <w:rPr>
          <w:rFonts w:ascii="Arial" w:hAnsi="Arial" w:cs="Arial"/>
          <w:sz w:val="20"/>
          <w:szCs w:val="20"/>
        </w:rPr>
        <w:t xml:space="preserve">VPK Berlin Brandenburg </w:t>
      </w:r>
    </w:p>
    <w:p w:rsidR="003F7E5C" w:rsidRDefault="0077218C" w:rsidP="00C235E3">
      <w:pPr>
        <w:spacing w:after="0"/>
        <w:rPr>
          <w:rFonts w:ascii="Arial" w:hAnsi="Arial" w:cs="Arial"/>
          <w:sz w:val="20"/>
          <w:szCs w:val="20"/>
        </w:rPr>
      </w:pPr>
      <w:r>
        <w:rPr>
          <w:rFonts w:ascii="Arial" w:hAnsi="Arial" w:cs="Arial"/>
          <w:sz w:val="20"/>
          <w:szCs w:val="20"/>
        </w:rPr>
        <w:t>02.09.2015</w:t>
      </w:r>
      <w:r w:rsidR="003F7E5C">
        <w:rPr>
          <w:rFonts w:ascii="Arial" w:hAnsi="Arial" w:cs="Arial"/>
          <w:sz w:val="20"/>
          <w:szCs w:val="20"/>
        </w:rPr>
        <w:t xml:space="preserve"> </w:t>
      </w:r>
    </w:p>
    <w:p w:rsidR="00C235E3" w:rsidRPr="00C235E3" w:rsidRDefault="00C235E3" w:rsidP="00C235E3">
      <w:pPr>
        <w:spacing w:after="0"/>
        <w:rPr>
          <w:rFonts w:ascii="Arial" w:hAnsi="Arial" w:cs="Arial"/>
          <w:sz w:val="20"/>
          <w:szCs w:val="20"/>
        </w:rPr>
      </w:pPr>
      <w:r>
        <w:rPr>
          <w:rFonts w:ascii="Arial" w:hAnsi="Arial" w:cs="Arial"/>
          <w:sz w:val="20"/>
          <w:szCs w:val="20"/>
        </w:rPr>
        <w:t xml:space="preserve"> </w:t>
      </w:r>
    </w:p>
    <w:sectPr w:rsidR="00C235E3" w:rsidRPr="00C235E3" w:rsidSect="00E34602">
      <w:headerReference w:type="default" r:id="rId7"/>
      <w:footerReference w:type="default" r:id="rId8"/>
      <w:pgSz w:w="11906" w:h="16838"/>
      <w:pgMar w:top="1418" w:right="1418" w:bottom="1134" w:left="1418" w:header="709" w:footer="18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C026C" w:rsidRDefault="00AC026C" w:rsidP="00CF3D70">
      <w:pPr>
        <w:spacing w:after="0" w:line="240" w:lineRule="auto"/>
      </w:pPr>
      <w:r>
        <w:separator/>
      </w:r>
    </w:p>
  </w:endnote>
  <w:endnote w:type="continuationSeparator" w:id="0">
    <w:p w:rsidR="00AC026C" w:rsidRDefault="00AC026C" w:rsidP="00CF3D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3"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1497" w:rsidRDefault="00951497" w:rsidP="00951497">
    <w:pPr>
      <w:pStyle w:val="Kopfzeile"/>
      <w:tabs>
        <w:tab w:val="clear" w:pos="4536"/>
        <w:tab w:val="clear" w:pos="9072"/>
      </w:tabs>
      <w:jc w:val="center"/>
      <w:rPr>
        <w:rFonts w:ascii="Trebuchet MS" w:hAnsi="Trebuchet MS"/>
        <w:b/>
        <w:sz w:val="14"/>
        <w:szCs w:val="24"/>
      </w:rPr>
    </w:pPr>
    <w:r w:rsidRPr="004A0DE3">
      <w:rPr>
        <w:rFonts w:ascii="Trebuchet MS" w:hAnsi="Trebuchet MS"/>
        <w:b/>
        <w:sz w:val="14"/>
        <w:szCs w:val="24"/>
      </w:rPr>
      <w:t>Verband privater Kliniken und Pflegeeinrichtungen Berlin-Brandenburg e. V.</w:t>
    </w:r>
  </w:p>
  <w:p w:rsidR="00E34602" w:rsidRPr="004A0DE3" w:rsidRDefault="00E34602" w:rsidP="00951497">
    <w:pPr>
      <w:pStyle w:val="Kopfzeile"/>
      <w:tabs>
        <w:tab w:val="clear" w:pos="4536"/>
        <w:tab w:val="clear" w:pos="9072"/>
      </w:tabs>
      <w:jc w:val="center"/>
      <w:rPr>
        <w:rFonts w:ascii="Trebuchet MS" w:hAnsi="Trebuchet MS"/>
        <w:b/>
        <w:sz w:val="1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C026C" w:rsidRDefault="00AC026C" w:rsidP="00CF3D70">
      <w:pPr>
        <w:spacing w:after="0" w:line="240" w:lineRule="auto"/>
      </w:pPr>
      <w:r>
        <w:separator/>
      </w:r>
    </w:p>
  </w:footnote>
  <w:footnote w:type="continuationSeparator" w:id="0">
    <w:p w:rsidR="00AC026C" w:rsidRDefault="00AC026C" w:rsidP="00CF3D7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C026C" w:rsidRDefault="00704D4A" w:rsidP="00CF3D70">
    <w:pPr>
      <w:pStyle w:val="Kopfzeile"/>
      <w:jc w:val="right"/>
    </w:pPr>
    <w:r>
      <w:t>AG § 75 am 1</w:t>
    </w:r>
    <w:r w:rsidR="0077218C">
      <w:t>5.09.2015</w:t>
    </w:r>
    <w:r>
      <w:t xml:space="preserve"> / Antrag zu „Sonstiges“</w:t>
    </w:r>
  </w:p>
  <w:p w:rsidR="00AC026C" w:rsidRDefault="00AC026C" w:rsidP="00CF3D70">
    <w:pPr>
      <w:pStyle w:val="Kopfzeile"/>
      <w:jc w:val="right"/>
    </w:pPr>
  </w:p>
  <w:p w:rsidR="00AC026C" w:rsidRDefault="00AC026C" w:rsidP="00CF3D70">
    <w:pPr>
      <w:pStyle w:val="Kopfzeile"/>
      <w:tabs>
        <w:tab w:val="clear" w:pos="4536"/>
        <w:tab w:val="clear" w:pos="9072"/>
        <w:tab w:val="left" w:pos="6723"/>
      </w:tabs>
      <w:ind w:right="-71"/>
      <w:rPr>
        <w:rFonts w:ascii="Trebuchet MS" w:hAnsi="Trebuchet MS"/>
        <w:sz w:val="16"/>
        <w:szCs w:val="16"/>
      </w:rPr>
    </w:pPr>
    <w:r>
      <w:rPr>
        <w:rFonts w:ascii="Trebuchet MS" w:hAnsi="Trebuchet MS"/>
        <w:noProof/>
        <w:sz w:val="16"/>
        <w:szCs w:val="16"/>
        <w:lang w:eastAsia="de-DE"/>
      </w:rPr>
      <mc:AlternateContent>
        <mc:Choice Requires="wps">
          <w:drawing>
            <wp:anchor distT="0" distB="0" distL="114300" distR="114300" simplePos="0" relativeHeight="251659264" behindDoc="0" locked="0" layoutInCell="1" allowOverlap="1" wp14:anchorId="5240999B" wp14:editId="1351B1FE">
              <wp:simplePos x="0" y="0"/>
              <wp:positionH relativeFrom="column">
                <wp:posOffset>-76200</wp:posOffset>
              </wp:positionH>
              <wp:positionV relativeFrom="paragraph">
                <wp:posOffset>80010</wp:posOffset>
              </wp:positionV>
              <wp:extent cx="2857500" cy="339725"/>
              <wp:effectExtent l="0" t="0" r="0" b="3175"/>
              <wp:wrapNone/>
              <wp:docPr id="1" name="Textfeld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3397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C026C" w:rsidRPr="00CF3D70" w:rsidRDefault="00AC026C" w:rsidP="00CF3D70">
                          <w:pPr>
                            <w:pStyle w:val="Kopfzeile"/>
                            <w:tabs>
                              <w:tab w:val="clear" w:pos="4536"/>
                              <w:tab w:val="clear" w:pos="9072"/>
                              <w:tab w:val="left" w:pos="7920"/>
                            </w:tabs>
                            <w:ind w:right="-71"/>
                            <w:rPr>
                              <w:rFonts w:ascii="Trebuchet MS" w:hAnsi="Trebuchet MS" w:cstheme="minorHAnsi"/>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240999B" id="_x0000_t202" coordsize="21600,21600" o:spt="202" path="m,l,21600r21600,l21600,xe">
              <v:stroke joinstyle="miter"/>
              <v:path gradientshapeok="t" o:connecttype="rect"/>
            </v:shapetype>
            <v:shape id="Textfeld 1" o:spid="_x0000_s1026" type="#_x0000_t202" style="position:absolute;margin-left:-6pt;margin-top:6.3pt;width:225pt;height:2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" stroked="f">
              <v:textbox>
                <w:txbxContent>
                  <w:p w:rsidR="00AC026C" w:rsidRPr="00CF3D70" w:rsidRDefault="00AC026C" w:rsidP="00CF3D70">
                    <w:pPr>
                      <w:pStyle w:val="Kopfzeile"/>
                      <w:tabs>
                        <w:tab w:val="clear" w:pos="4536"/>
                        <w:tab w:val="clear" w:pos="9072"/>
                        <w:tab w:val="left" w:pos="7920"/>
                      </w:tabs>
                      <w:ind w:right="-71"/>
                      <w:rPr>
                        <w:rFonts w:ascii="Trebuchet MS" w:hAnsi="Trebuchet MS" w:cstheme="minorHAnsi"/>
                        <w:sz w:val="16"/>
                        <w:szCs w:val="16"/>
                      </w:rPr>
                    </w:pPr>
                  </w:p>
                </w:txbxContent>
              </v:textbox>
            </v:shape>
          </w:pict>
        </mc:Fallback>
      </mc:AlternateContent>
    </w:r>
    <w:r w:rsidRPr="007234FF">
      <w:rPr>
        <w:rFonts w:ascii="Trebuchet MS" w:hAnsi="Trebuchet MS"/>
        <w:sz w:val="16"/>
        <w:szCs w:val="16"/>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7C34BF3"/>
    <w:multiLevelType w:val="hybridMultilevel"/>
    <w:tmpl w:val="D01407BA"/>
    <w:lvl w:ilvl="0" w:tplc="04070005">
      <w:start w:val="1"/>
      <w:numFmt w:val="bullet"/>
      <w:lvlText w:val=""/>
      <w:lvlJc w:val="left"/>
      <w:pPr>
        <w:ind w:left="1428" w:hanging="360"/>
      </w:pPr>
      <w:rPr>
        <w:rFonts w:ascii="Wingdings" w:hAnsi="Wingdings" w:hint="default"/>
      </w:rPr>
    </w:lvl>
    <w:lvl w:ilvl="1" w:tplc="04070003" w:tentative="1">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1" w15:restartNumberingAfterBreak="0">
    <w:nsid w:val="6AED4647"/>
    <w:multiLevelType w:val="hybridMultilevel"/>
    <w:tmpl w:val="CB96E002"/>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70A962E3"/>
    <w:multiLevelType w:val="hybridMultilevel"/>
    <w:tmpl w:val="F8988424"/>
    <w:lvl w:ilvl="0" w:tplc="04070005">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evenAndOddHeaders/>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D70"/>
    <w:rsid w:val="00016A63"/>
    <w:rsid w:val="00036D4E"/>
    <w:rsid w:val="000B25A6"/>
    <w:rsid w:val="0015075A"/>
    <w:rsid w:val="00153C05"/>
    <w:rsid w:val="002952DF"/>
    <w:rsid w:val="002B4448"/>
    <w:rsid w:val="002C0557"/>
    <w:rsid w:val="00376118"/>
    <w:rsid w:val="003C3FF0"/>
    <w:rsid w:val="003F22E5"/>
    <w:rsid w:val="003F7E5C"/>
    <w:rsid w:val="004E1422"/>
    <w:rsid w:val="005130F6"/>
    <w:rsid w:val="00604550"/>
    <w:rsid w:val="00617ADB"/>
    <w:rsid w:val="00650B3E"/>
    <w:rsid w:val="006F2B2F"/>
    <w:rsid w:val="00704D4A"/>
    <w:rsid w:val="0077218C"/>
    <w:rsid w:val="00776BAF"/>
    <w:rsid w:val="00851E02"/>
    <w:rsid w:val="00851FC8"/>
    <w:rsid w:val="00864F63"/>
    <w:rsid w:val="008F1B17"/>
    <w:rsid w:val="009054DB"/>
    <w:rsid w:val="00951497"/>
    <w:rsid w:val="00970F9B"/>
    <w:rsid w:val="009A35F7"/>
    <w:rsid w:val="009C64D8"/>
    <w:rsid w:val="00A36954"/>
    <w:rsid w:val="00A51A6F"/>
    <w:rsid w:val="00A735BB"/>
    <w:rsid w:val="00AC026C"/>
    <w:rsid w:val="00AE457F"/>
    <w:rsid w:val="00B4310A"/>
    <w:rsid w:val="00BE4AA7"/>
    <w:rsid w:val="00C02BA5"/>
    <w:rsid w:val="00C07B0B"/>
    <w:rsid w:val="00C235E3"/>
    <w:rsid w:val="00C976D8"/>
    <w:rsid w:val="00CF3D70"/>
    <w:rsid w:val="00D77A30"/>
    <w:rsid w:val="00E34602"/>
    <w:rsid w:val="00E41817"/>
    <w:rsid w:val="00E96B0E"/>
    <w:rsid w:val="00EB18C9"/>
    <w:rsid w:val="00EC1CFB"/>
    <w:rsid w:val="00F52248"/>
    <w:rsid w:val="00F910E3"/>
    <w:rsid w:val="00FB43EB"/>
    <w:rsid w:val="00FF46C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0399A6AD-5150-48E2-8FE5-C6547486C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CF3D7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CF3D70"/>
  </w:style>
  <w:style w:type="paragraph" w:styleId="Fuzeile">
    <w:name w:val="footer"/>
    <w:basedOn w:val="Standard"/>
    <w:link w:val="FuzeileZchn"/>
    <w:uiPriority w:val="99"/>
    <w:unhideWhenUsed/>
    <w:rsid w:val="00CF3D7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CF3D70"/>
  </w:style>
  <w:style w:type="paragraph" w:styleId="Sprechblasentext">
    <w:name w:val="Balloon Text"/>
    <w:basedOn w:val="Standard"/>
    <w:link w:val="SprechblasentextZchn"/>
    <w:uiPriority w:val="99"/>
    <w:semiHidden/>
    <w:unhideWhenUsed/>
    <w:rsid w:val="00CF3D70"/>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CF3D70"/>
    <w:rPr>
      <w:rFonts w:ascii="Tahoma" w:hAnsi="Tahoma" w:cs="Tahoma"/>
      <w:sz w:val="16"/>
      <w:szCs w:val="16"/>
    </w:rPr>
  </w:style>
  <w:style w:type="character" w:styleId="Kommentarzeichen">
    <w:name w:val="annotation reference"/>
    <w:basedOn w:val="Absatz-Standardschriftart"/>
    <w:uiPriority w:val="99"/>
    <w:semiHidden/>
    <w:unhideWhenUsed/>
    <w:rsid w:val="00851E02"/>
    <w:rPr>
      <w:sz w:val="16"/>
      <w:szCs w:val="16"/>
    </w:rPr>
  </w:style>
  <w:style w:type="paragraph" w:styleId="Kommentartext">
    <w:name w:val="annotation text"/>
    <w:basedOn w:val="Standard"/>
    <w:link w:val="KommentartextZchn"/>
    <w:uiPriority w:val="99"/>
    <w:semiHidden/>
    <w:unhideWhenUsed/>
    <w:rsid w:val="00851E0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51E02"/>
    <w:rPr>
      <w:sz w:val="20"/>
      <w:szCs w:val="20"/>
    </w:rPr>
  </w:style>
  <w:style w:type="paragraph" w:styleId="Kommentarthema">
    <w:name w:val="annotation subject"/>
    <w:basedOn w:val="Kommentartext"/>
    <w:next w:val="Kommentartext"/>
    <w:link w:val="KommentarthemaZchn"/>
    <w:uiPriority w:val="99"/>
    <w:semiHidden/>
    <w:unhideWhenUsed/>
    <w:rsid w:val="00851E02"/>
    <w:rPr>
      <w:b/>
      <w:bCs/>
    </w:rPr>
  </w:style>
  <w:style w:type="character" w:customStyle="1" w:styleId="KommentarthemaZchn">
    <w:name w:val="Kommentarthema Zchn"/>
    <w:basedOn w:val="KommentartextZchn"/>
    <w:link w:val="Kommentarthema"/>
    <w:uiPriority w:val="99"/>
    <w:semiHidden/>
    <w:rsid w:val="00851E02"/>
    <w:rPr>
      <w:b/>
      <w:bCs/>
      <w:sz w:val="20"/>
      <w:szCs w:val="20"/>
    </w:rPr>
  </w:style>
  <w:style w:type="paragraph" w:styleId="Listenabsatz">
    <w:name w:val="List Paragraph"/>
    <w:basedOn w:val="Standard"/>
    <w:uiPriority w:val="34"/>
    <w:qFormat/>
    <w:rsid w:val="00C235E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9652378">
      <w:bodyDiv w:val="1"/>
      <w:marLeft w:val="0"/>
      <w:marRight w:val="0"/>
      <w:marTop w:val="0"/>
      <w:marBottom w:val="0"/>
      <w:divBdr>
        <w:top w:val="none" w:sz="0" w:space="0" w:color="auto"/>
        <w:left w:val="none" w:sz="0" w:space="0" w:color="auto"/>
        <w:bottom w:val="none" w:sz="0" w:space="0" w:color="auto"/>
        <w:right w:val="none" w:sz="0" w:space="0" w:color="auto"/>
      </w:divBdr>
    </w:div>
    <w:div w:id="1331521094">
      <w:bodyDiv w:val="1"/>
      <w:marLeft w:val="0"/>
      <w:marRight w:val="0"/>
      <w:marTop w:val="0"/>
      <w:marBottom w:val="0"/>
      <w:divBdr>
        <w:top w:val="none" w:sz="0" w:space="0" w:color="auto"/>
        <w:left w:val="none" w:sz="0" w:space="0" w:color="auto"/>
        <w:bottom w:val="none" w:sz="0" w:space="0" w:color="auto"/>
        <w:right w:val="none" w:sz="0" w:space="0" w:color="auto"/>
      </w:divBdr>
    </w:div>
    <w:div w:id="19096817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841</Words>
  <Characters>5303</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Carola Göckler (VPK BB)</dc:creator>
  <cp:lastModifiedBy>Yvonne Machelett</cp:lastModifiedBy>
  <cp:revision>2</cp:revision>
  <cp:lastPrinted>2015-08-12T06:02:00Z</cp:lastPrinted>
  <dcterms:created xsi:type="dcterms:W3CDTF">2015-09-02T11:39:00Z</dcterms:created>
  <dcterms:modified xsi:type="dcterms:W3CDTF">2015-09-02T11:39:00Z</dcterms:modified>
</cp:coreProperties>
</file>